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0AC8" w:rsidRPr="00F10AC8" w:rsidRDefault="00F10AC8" w:rsidP="00F10AC8">
      <w:pPr>
        <w:shd w:val="clear" w:color="auto" w:fill="FFFFFF"/>
        <w:spacing w:after="300" w:line="192" w:lineRule="atLeast"/>
        <w:textAlignment w:val="baseline"/>
        <w:outlineLvl w:val="0"/>
        <w:rPr>
          <w:rFonts w:ascii="Arial" w:eastAsia="Times New Roman" w:hAnsi="Arial" w:cs="Arial"/>
          <w:b/>
          <w:bCs/>
          <w:color w:val="1C2024"/>
          <w:spacing w:val="15"/>
          <w:kern w:val="36"/>
          <w:sz w:val="38"/>
          <w:szCs w:val="38"/>
          <w:lang w:eastAsia="it-IT"/>
        </w:rPr>
      </w:pPr>
      <w:r w:rsidRPr="00F10AC8">
        <w:rPr>
          <w:rFonts w:ascii="Arial" w:eastAsia="Times New Roman" w:hAnsi="Arial" w:cs="Arial"/>
          <w:b/>
          <w:bCs/>
          <w:color w:val="1C2024"/>
          <w:spacing w:val="15"/>
          <w:kern w:val="36"/>
          <w:sz w:val="38"/>
          <w:szCs w:val="38"/>
          <w:lang w:eastAsia="it-IT"/>
        </w:rPr>
        <w:t>PON FESR – DIGITAL BOARD – AVVISO 28966</w:t>
      </w:r>
    </w:p>
    <w:p w:rsidR="00F10AC8" w:rsidRPr="00F10AC8" w:rsidRDefault="00F10AC8" w:rsidP="00F10AC8">
      <w:pPr>
        <w:spacing w:after="0" w:line="240" w:lineRule="auto"/>
        <w:textAlignment w:val="baseline"/>
        <w:rPr>
          <w:rFonts w:ascii="Arial" w:eastAsia="Times New Roman" w:hAnsi="Arial" w:cs="Arial"/>
          <w:color w:val="1C2024"/>
          <w:sz w:val="21"/>
          <w:szCs w:val="21"/>
          <w:lang w:eastAsia="it-IT"/>
        </w:rPr>
      </w:pPr>
      <w:r w:rsidRPr="00F10AC8">
        <w:rPr>
          <w:rFonts w:ascii="Arial" w:eastAsia="Times New Roman" w:hAnsi="Arial" w:cs="Arial"/>
          <w:color w:val="1C2024"/>
          <w:sz w:val="21"/>
          <w:szCs w:val="21"/>
          <w:lang w:eastAsia="it-IT"/>
        </w:rPr>
        <w:t xml:space="preserve">L’obiettivo del progetto è quello di consentire la dotazione di monitor digitali interattivi </w:t>
      </w:r>
      <w:proofErr w:type="spellStart"/>
      <w:r w:rsidRPr="00F10AC8">
        <w:rPr>
          <w:rFonts w:ascii="Arial" w:eastAsia="Times New Roman" w:hAnsi="Arial" w:cs="Arial"/>
          <w:color w:val="1C2024"/>
          <w:sz w:val="21"/>
          <w:szCs w:val="21"/>
          <w:lang w:eastAsia="it-IT"/>
        </w:rPr>
        <w:t>touch</w:t>
      </w:r>
      <w:proofErr w:type="spellEnd"/>
      <w:r w:rsidRPr="00F10AC8">
        <w:rPr>
          <w:rFonts w:ascii="Arial" w:eastAsia="Times New Roman" w:hAnsi="Arial" w:cs="Arial"/>
          <w:color w:val="1C2024"/>
          <w:sz w:val="21"/>
          <w:szCs w:val="21"/>
          <w:lang w:eastAsia="it-IT"/>
        </w:rPr>
        <w:t xml:space="preserve"> screen, che costituiscono oggi strumenti indispensabili per migliorare la qualità della didattica in classe e per utilizzare metodologie didattiche innovative e inclusive, con priorità per le classi che siano attualmente ancora sprovviste di lavagne digitali, e di adeguare le attrezzature e gli strumenti in dotazione alle segreterie scolastiche per accelerare il processo di dematerializzazione e digitalizzazione amministrativa delle scuole.</w:t>
      </w:r>
    </w:p>
    <w:p w:rsidR="00C6099B" w:rsidRDefault="00C6099B">
      <w:bookmarkStart w:id="0" w:name="_GoBack"/>
      <w:bookmarkEnd w:id="0"/>
    </w:p>
    <w:sectPr w:rsidR="00C609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AC8"/>
    <w:rsid w:val="00135B49"/>
    <w:rsid w:val="00266FF5"/>
    <w:rsid w:val="00895E9D"/>
    <w:rsid w:val="00C6099B"/>
    <w:rsid w:val="00F1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8E7D-7EF0-48C7-9742-A97135834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Segreteria3</dc:creator>
  <cp:keywords/>
  <dc:description/>
  <cp:lastModifiedBy>Segreteria3</cp:lastModifiedBy>
  <cp:revision>2</cp:revision>
  <dcterms:created xsi:type="dcterms:W3CDTF">2023-12-21T10:59:00Z</dcterms:created>
  <dcterms:modified xsi:type="dcterms:W3CDTF">2023-12-21T10:59:00Z</dcterms:modified>
</cp:coreProperties>
</file>